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ConsPlusNormal"/>
        <w:ind w:left="5670"/>
        <w:rPr>
          <w:rFonts w:ascii="Times New Roman" w:hAnsi="Times New Roman" w:cs="Times New Roman"/>
          <w:sz w:val="28"/>
          <w:szCs w:val="28"/>
        </w:rPr>
      </w:pPr>
      <w:r>
        <w:rPr>
          <w:rFonts w:cs="Times New Roman" w:ascii="Times New Roman" w:hAnsi="Times New Roman"/>
          <w:sz w:val="28"/>
          <w:szCs w:val="28"/>
        </w:rPr>
      </w:r>
      <w:bookmarkStart w:id="0" w:name="_GoBack"/>
      <w:bookmarkStart w:id="1" w:name="_GoBack"/>
      <w:bookmarkEnd w:id="1"/>
    </w:p>
    <w:p>
      <w:pPr>
        <w:pStyle w:val="ConsPlusTitle"/>
        <w:jc w:val="center"/>
        <w:rPr>
          <w:rFonts w:ascii="Times New Roman" w:hAnsi="Times New Roman" w:cs="Times New Roman"/>
          <w:sz w:val="28"/>
          <w:szCs w:val="28"/>
        </w:rPr>
      </w:pPr>
      <w:r>
        <w:rPr>
          <w:rFonts w:cs="Times New Roman" w:ascii="Times New Roman" w:hAnsi="Times New Roman"/>
          <w:sz w:val="28"/>
          <w:szCs w:val="28"/>
        </w:rPr>
        <w:t>Методика</w:t>
      </w:r>
    </w:p>
    <w:p>
      <w:pPr>
        <w:pStyle w:val="ConsPlusTitle"/>
        <w:jc w:val="center"/>
        <w:rPr>
          <w:rFonts w:ascii="Times New Roman" w:hAnsi="Times New Roman" w:cs="Times New Roman"/>
          <w:sz w:val="28"/>
          <w:szCs w:val="28"/>
        </w:rPr>
      </w:pPr>
      <w:r>
        <w:rPr>
          <w:rFonts w:cs="Times New Roman" w:ascii="Times New Roman" w:hAnsi="Times New Roman"/>
          <w:sz w:val="28"/>
          <w:szCs w:val="28"/>
        </w:rPr>
        <w:t>распределения иных межбюджетных трансфертов и правила</w:t>
      </w:r>
    </w:p>
    <w:p>
      <w:pPr>
        <w:pStyle w:val="ConsPlusTitle"/>
        <w:jc w:val="center"/>
        <w:rPr>
          <w:rFonts w:ascii="Times New Roman" w:hAnsi="Times New Roman" w:cs="Times New Roman"/>
          <w:sz w:val="28"/>
          <w:szCs w:val="28"/>
        </w:rPr>
      </w:pPr>
      <w:r>
        <w:rPr>
          <w:rFonts w:cs="Times New Roman" w:ascii="Times New Roman" w:hAnsi="Times New Roman"/>
          <w:sz w:val="28"/>
          <w:szCs w:val="28"/>
        </w:rPr>
        <w:t>их предоставления местным бюджетам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w:t>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r>
    </w:p>
    <w:p>
      <w:pPr>
        <w:pStyle w:val="ConsPlusNormal"/>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76" w:before="0" w:after="0"/>
        <w:ind w:firstLine="540" w:left="0"/>
        <w:contextualSpacing/>
        <w:jc w:val="both"/>
        <w:rPr/>
      </w:pPr>
      <w:r>
        <w:rPr>
          <w:rFonts w:ascii="Times New Roman" w:hAnsi="Times New Roman"/>
          <w:b w:val="false"/>
          <w:i w:val="false"/>
          <w:strike w:val="false"/>
          <w:dstrike w:val="false"/>
          <w:color w:val="000000"/>
          <w:sz w:val="28"/>
          <w:szCs w:val="28"/>
          <w:u w:val="none"/>
        </w:rPr>
        <w:t xml:space="preserve">1. Настоящая Методика определяет процедуру распределения и предоставления иных межбюджетных трансфертов из областного бюджета Новосибирской области (далее - областной бюджет) бюджетам муниципальных образований Новосибирской области (далее - местные бюджеты) на обеспечение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 расположенных на территории Новосибирской области (далее - советники), в рамках реализации государственной </w:t>
      </w:r>
      <w:hyperlink r:id="rId2">
        <w:r>
          <w:rPr>
            <w:rStyle w:val="Hyperlink"/>
            <w:rFonts w:ascii="Times New Roman" w:hAnsi="Times New Roman"/>
            <w:b w:val="false"/>
            <w:i w:val="false"/>
            <w:strike w:val="false"/>
            <w:dstrike w:val="false"/>
            <w:color w:val="000000"/>
            <w:sz w:val="28"/>
            <w:szCs w:val="28"/>
            <w:u w:val="none"/>
          </w:rPr>
          <w:t>программы</w:t>
        </w:r>
      </w:hyperlink>
      <w:r>
        <w:rPr>
          <w:rFonts w:ascii="Times New Roman" w:hAnsi="Times New Roman"/>
          <w:b w:val="false"/>
          <w:i w:val="false"/>
          <w:strike w:val="false"/>
          <w:dstrike w:val="false"/>
          <w:color w:val="000000"/>
          <w:sz w:val="28"/>
          <w:szCs w:val="28"/>
          <w:u w:val="none"/>
        </w:rPr>
        <w:t xml:space="preserve"> Новосибирской области "Развитие образования, создание условий для социализации детей и учащейся молодежи в Новосибирской области" (далее - иные межбюджетные трансферты).</w:t>
      </w:r>
    </w:p>
    <w:p>
      <w:pPr>
        <w:pStyle w:val="Normal"/>
        <w:spacing w:lineRule="auto" w:line="276" w:before="0" w:after="0"/>
        <w:ind w:firstLine="540" w:left="0"/>
        <w:contextualSpacing/>
        <w:jc w:val="both"/>
        <w:rPr>
          <w:rFonts w:ascii="Times New Roman" w:hAnsi="Times New Roman"/>
          <w:color w:val="000000"/>
          <w:sz w:val="28"/>
          <w:szCs w:val="28"/>
        </w:rPr>
      </w:pPr>
      <w:r>
        <w:rPr>
          <w:rFonts w:ascii="Times New Roman" w:hAnsi="Times New Roman"/>
          <w:b w:val="false"/>
          <w:i w:val="false"/>
          <w:strike w:val="false"/>
          <w:dstrike w:val="false"/>
          <w:color w:val="000000"/>
          <w:sz w:val="28"/>
          <w:szCs w:val="28"/>
          <w:u w:val="none"/>
        </w:rPr>
        <w:t>2. Иные межбюджетные трансферты предоставляются в целях софинансирования в полном объеме расходных обязательств по финансовому обеспечению деятельности советников.</w:t>
      </w:r>
      <w:bookmarkStart w:id="2" w:name="Par1"/>
    </w:p>
    <w:p>
      <w:pPr>
        <w:pStyle w:val="Normal"/>
        <w:spacing w:lineRule="auto" w:line="276" w:before="0" w:after="0"/>
        <w:ind w:firstLine="540" w:left="0"/>
        <w:contextualSpacing/>
        <w:jc w:val="both"/>
        <w:rPr/>
      </w:pPr>
      <w:r>
        <w:rPr>
          <w:rFonts w:ascii="Times New Roman" w:hAnsi="Times New Roman"/>
          <w:b w:val="false"/>
          <w:i w:val="false"/>
          <w:strike w:val="false"/>
          <w:dstrike w:val="false"/>
          <w:color w:val="000000"/>
          <w:sz w:val="28"/>
          <w:szCs w:val="28"/>
          <w:u w:val="none"/>
        </w:rPr>
        <w:t xml:space="preserve">3. Иные межбюджетные трансферты предоставляются в пределах сумм, утвержденных законом Новосибирской области об областном бюджете на соответствующий финансовый год и плановый период, в пределах доведенных лимитов бюджетных обязательств, а также в соответствии с </w:t>
      </w:r>
      <w:hyperlink r:id="rId3">
        <w:r>
          <w:rPr>
            <w:rStyle w:val="Hyperlink"/>
            <w:rFonts w:ascii="Times New Roman" w:hAnsi="Times New Roman"/>
            <w:b w:val="false"/>
            <w:i w:val="false"/>
            <w:strike w:val="false"/>
            <w:dstrike w:val="false"/>
            <w:color w:val="000000"/>
            <w:sz w:val="28"/>
            <w:szCs w:val="28"/>
            <w:u w:val="none"/>
          </w:rPr>
          <w:t>Порядком</w:t>
        </w:r>
      </w:hyperlink>
      <w:r>
        <w:rPr>
          <w:rFonts w:ascii="Times New Roman" w:hAnsi="Times New Roman"/>
          <w:b w:val="false"/>
          <w:i w:val="false"/>
          <w:strike w:val="false"/>
          <w:dstrike w:val="false"/>
          <w:color w:val="000000"/>
          <w:sz w:val="28"/>
          <w:szCs w:val="28"/>
          <w:u w:val="none"/>
        </w:rPr>
        <w:t xml:space="preserve"> составления и ведения кассового плана исполнения областного бюджета Новосибирской области, утвержденным приказом министерства финансов и налоговой политики Новосибирской области от 07.12.2017 N 69-НПА, на цели, указанные в </w:t>
      </w:r>
      <w:hyperlink w:anchor="Par1">
        <w:r>
          <w:rPr>
            <w:rStyle w:val="Hyperlink"/>
            <w:rFonts w:ascii="Times New Roman" w:hAnsi="Times New Roman"/>
            <w:b w:val="false"/>
            <w:i w:val="false"/>
            <w:strike w:val="false"/>
            <w:dstrike w:val="false"/>
            <w:color w:val="000000"/>
            <w:sz w:val="28"/>
            <w:szCs w:val="28"/>
            <w:u w:val="none"/>
          </w:rPr>
          <w:t>пункте 2</w:t>
        </w:r>
      </w:hyperlink>
      <w:r>
        <w:rPr>
          <w:rFonts w:ascii="Times New Roman" w:hAnsi="Times New Roman"/>
          <w:b w:val="false"/>
          <w:i w:val="false"/>
          <w:strike w:val="false"/>
          <w:dstrike w:val="false"/>
          <w:color w:val="000000"/>
          <w:sz w:val="28"/>
          <w:szCs w:val="28"/>
          <w:u w:val="none"/>
        </w:rPr>
        <w:t xml:space="preserve"> настоящей Методики.</w:t>
      </w:r>
    </w:p>
    <w:p>
      <w:pPr>
        <w:pStyle w:val="Normal"/>
        <w:spacing w:lineRule="auto" w:line="276" w:before="0" w:after="0"/>
        <w:ind w:firstLine="540" w:left="0"/>
        <w:contextualSpacing/>
        <w:jc w:val="both"/>
        <w:rPr>
          <w:rFonts w:ascii="Times New Roman" w:hAnsi="Times New Roman"/>
          <w:color w:val="000000"/>
          <w:sz w:val="28"/>
          <w:szCs w:val="28"/>
        </w:rPr>
      </w:pPr>
      <w:r>
        <w:rPr>
          <w:rFonts w:ascii="Times New Roman" w:hAnsi="Times New Roman"/>
          <w:b w:val="false"/>
          <w:i w:val="false"/>
          <w:strike w:val="false"/>
          <w:dstrike w:val="false"/>
          <w:color w:val="000000"/>
          <w:sz w:val="28"/>
          <w:szCs w:val="28"/>
          <w:u w:val="none"/>
        </w:rPr>
        <w:t>4. Распределение иных межбюджетных трансфертов между местными бюджетами утверждается законом Новосибирской области об областном бюджете на соответствующий финансовый год и плановый период.</w:t>
      </w:r>
    </w:p>
    <w:p>
      <w:pPr>
        <w:pStyle w:val="Normal"/>
        <w:spacing w:lineRule="auto" w:line="276" w:before="0" w:after="0"/>
        <w:ind w:firstLine="540" w:left="0"/>
        <w:contextualSpacing/>
        <w:jc w:val="both"/>
        <w:rPr>
          <w:rFonts w:ascii="Times New Roman" w:hAnsi="Times New Roman"/>
          <w:color w:val="000000"/>
          <w:sz w:val="28"/>
          <w:szCs w:val="28"/>
        </w:rPr>
      </w:pPr>
      <w:r>
        <w:rPr>
          <w:rFonts w:ascii="Times New Roman" w:hAnsi="Times New Roman"/>
          <w:b w:val="false"/>
          <w:i w:val="false"/>
          <w:strike w:val="false"/>
          <w:dstrike w:val="false"/>
          <w:color w:val="000000"/>
          <w:sz w:val="28"/>
          <w:szCs w:val="28"/>
          <w:u w:val="none"/>
        </w:rPr>
        <w:t>5. Критерием отбора для предоставления иных межбюджетных трансфертов является наличие в штатном расписании муниципальных общеобразовательных организаций ставок советников.</w:t>
      </w:r>
    </w:p>
    <w:p>
      <w:pPr>
        <w:pStyle w:val="Normal"/>
        <w:spacing w:lineRule="auto" w:line="276" w:before="0" w:after="0"/>
        <w:ind w:firstLine="540" w:left="0"/>
        <w:contextualSpacing/>
        <w:jc w:val="both"/>
        <w:rPr>
          <w:rFonts w:ascii="Times New Roman" w:hAnsi="Times New Roman"/>
          <w:color w:val="000000"/>
          <w:sz w:val="28"/>
          <w:szCs w:val="28"/>
        </w:rPr>
      </w:pPr>
      <w:r>
        <w:rPr>
          <w:rFonts w:ascii="Times New Roman" w:hAnsi="Times New Roman"/>
          <w:b w:val="false"/>
          <w:i w:val="false"/>
          <w:strike w:val="false"/>
          <w:dstrike w:val="false"/>
          <w:color w:val="000000"/>
          <w:sz w:val="28"/>
          <w:szCs w:val="28"/>
          <w:u w:val="none"/>
        </w:rPr>
        <w:t>6. Иные межбюджетные трансферты предоставляются при условии заключения между министерством образования Новосибирской области (далее - министерство) и органами местного самоуправления муниципальных районов, муниципальных и городских округов Новосибирской области (далее - органы местного самоуправления) соглашения о предоставлении иных межбюджетных трансфертов местным бюджетам из областного бюджета на обеспечение деятельности советников (далее - соглашение) в форме электронного документа с использованием государственной интегрированной системы управления общественными финансами "Электронный бюджет" (далее - ГИИС "Электронный бюджет") в соответствии с типовой формой, утвержденной Министерством финансов Российской Федерации.</w:t>
      </w:r>
    </w:p>
    <w:p>
      <w:pPr>
        <w:pStyle w:val="Normal"/>
        <w:spacing w:lineRule="auto" w:line="276" w:before="0" w:after="0"/>
        <w:ind w:firstLine="540" w:left="0"/>
        <w:contextualSpacing/>
        <w:jc w:val="both"/>
        <w:rPr/>
      </w:pPr>
      <w:r>
        <w:rPr>
          <w:rFonts w:ascii="Times New Roman" w:hAnsi="Times New Roman"/>
          <w:b w:val="false"/>
          <w:i w:val="false"/>
          <w:strike w:val="false"/>
          <w:dstrike w:val="false"/>
          <w:color w:val="000000"/>
          <w:sz w:val="28"/>
          <w:szCs w:val="28"/>
          <w:u w:val="none"/>
        </w:rPr>
        <w:t xml:space="preserve">7. Для перечисления иных межбюджетных трансфертов органы местного самоуправления ежемесячно не позднее 20 числа направляют в министерство сведения о потребности в средствах иных межбюджетных трансфертов на следующий месяц в электронном виде по форме </w:t>
      </w:r>
      <w:hyperlink r:id="rId4">
        <w:r>
          <w:rPr>
            <w:rStyle w:val="Hyperlink"/>
            <w:rFonts w:ascii="Times New Roman" w:hAnsi="Times New Roman"/>
            <w:b w:val="false"/>
            <w:i w:val="false"/>
            <w:strike w:val="false"/>
            <w:dstrike w:val="false"/>
            <w:color w:val="000000"/>
            <w:sz w:val="28"/>
            <w:szCs w:val="28"/>
            <w:u w:val="none"/>
          </w:rPr>
          <w:t>заявки</w:t>
        </w:r>
      </w:hyperlink>
      <w:r>
        <w:rPr>
          <w:rFonts w:ascii="Times New Roman" w:hAnsi="Times New Roman"/>
          <w:b w:val="false"/>
          <w:i w:val="false"/>
          <w:strike w:val="false"/>
          <w:dstrike w:val="false"/>
          <w:color w:val="000000"/>
          <w:sz w:val="28"/>
          <w:szCs w:val="28"/>
          <w:u w:val="none"/>
        </w:rPr>
        <w:t>, утвержденной приказом министерства от 05.04.2022 N 655 "Об утверждении формы заявки на предоставление бюджетам муниципальных образований Новосибирской области объемов финансирования министерством образования Новосибирской области".</w:t>
      </w:r>
    </w:p>
    <w:p>
      <w:pPr>
        <w:pStyle w:val="Normal"/>
        <w:spacing w:lineRule="auto" w:line="276" w:before="0" w:after="0"/>
        <w:ind w:firstLine="540" w:left="0"/>
        <w:contextualSpacing/>
        <w:jc w:val="both"/>
        <w:rPr>
          <w:rFonts w:ascii="Times New Roman" w:hAnsi="Times New Roman"/>
          <w:color w:val="000000"/>
          <w:sz w:val="28"/>
          <w:szCs w:val="28"/>
        </w:rPr>
      </w:pPr>
      <w:r>
        <w:rPr>
          <w:rFonts w:ascii="Times New Roman" w:hAnsi="Times New Roman"/>
          <w:b w:val="false"/>
          <w:i w:val="false"/>
          <w:strike w:val="false"/>
          <w:dstrike w:val="false"/>
          <w:color w:val="000000"/>
          <w:sz w:val="28"/>
          <w:szCs w:val="28"/>
          <w:u w:val="none"/>
        </w:rPr>
        <w:t>8. Перечисление иных межбюджетных трансфертов осуществляется на счета, открытые территориальным органом Федерального казначейства, ежемесячно, не позднее 20 числа месяца, следующего за месяцем представления заявки.</w:t>
      </w:r>
    </w:p>
    <w:p>
      <w:pPr>
        <w:pStyle w:val="Normal"/>
        <w:spacing w:lineRule="auto" w:line="276" w:before="0" w:after="0"/>
        <w:ind w:firstLine="540" w:left="0"/>
        <w:contextualSpacing/>
        <w:jc w:val="both"/>
        <w:rPr>
          <w:rFonts w:ascii="Times New Roman" w:hAnsi="Times New Roman"/>
          <w:color w:val="000000"/>
          <w:sz w:val="28"/>
          <w:szCs w:val="28"/>
        </w:rPr>
      </w:pPr>
      <w:r>
        <w:rPr>
          <w:rFonts w:ascii="Times New Roman" w:hAnsi="Times New Roman"/>
          <w:b w:val="false"/>
          <w:i w:val="false"/>
          <w:strike w:val="false"/>
          <w:dstrike w:val="false"/>
          <w:color w:val="000000"/>
          <w:sz w:val="28"/>
          <w:szCs w:val="28"/>
          <w:u w:val="none"/>
        </w:rPr>
        <w:t>9. Органы местного самоуправления размещают в установленный срок в соответствии с соглашением в ГИИС "Электронный бюджет":</w:t>
      </w:r>
    </w:p>
    <w:p>
      <w:pPr>
        <w:pStyle w:val="Normal"/>
        <w:spacing w:lineRule="auto" w:line="276" w:before="0" w:after="0"/>
        <w:ind w:firstLine="540" w:left="0"/>
        <w:contextualSpacing/>
        <w:jc w:val="both"/>
        <w:rPr>
          <w:rFonts w:ascii="Times New Roman" w:hAnsi="Times New Roman"/>
          <w:color w:val="000000"/>
          <w:sz w:val="28"/>
          <w:szCs w:val="28"/>
        </w:rPr>
      </w:pPr>
      <w:r>
        <w:rPr>
          <w:rFonts w:ascii="Times New Roman" w:hAnsi="Times New Roman"/>
          <w:b w:val="false"/>
          <w:i w:val="false"/>
          <w:strike w:val="false"/>
          <w:dstrike w:val="false"/>
          <w:color w:val="000000"/>
          <w:sz w:val="28"/>
          <w:szCs w:val="28"/>
          <w:u w:val="none"/>
        </w:rPr>
        <w:t>отчет о расходовании иных межбюджетных трансфертов - ежеквартально, не позднее 5-го числа месяца, следующего за отчетным, по форме, предусмотренной в соглашении;</w:t>
      </w:r>
    </w:p>
    <w:p>
      <w:pPr>
        <w:pStyle w:val="Normal"/>
        <w:spacing w:lineRule="auto" w:line="276" w:before="0" w:after="0"/>
        <w:ind w:firstLine="540" w:left="0"/>
        <w:contextualSpacing/>
        <w:jc w:val="both"/>
        <w:rPr>
          <w:rFonts w:ascii="Times New Roman" w:hAnsi="Times New Roman"/>
          <w:color w:val="000000"/>
          <w:sz w:val="28"/>
          <w:szCs w:val="28"/>
        </w:rPr>
      </w:pPr>
      <w:r>
        <w:rPr>
          <w:rFonts w:ascii="Times New Roman" w:hAnsi="Times New Roman"/>
          <w:b w:val="false"/>
          <w:i w:val="false"/>
          <w:strike w:val="false"/>
          <w:dstrike w:val="false"/>
          <w:color w:val="000000"/>
          <w:sz w:val="28"/>
          <w:szCs w:val="28"/>
          <w:u w:val="none"/>
        </w:rPr>
        <w:t>отчет о достижении значения результата предоставления иных межбюджетных трансфертов - ежеквартально, не позднее 5-го числа месяца, следующего за отчетным, по форме, предусмотренной в соглашении;</w:t>
      </w:r>
    </w:p>
    <w:p>
      <w:pPr>
        <w:pStyle w:val="Normal"/>
        <w:spacing w:lineRule="auto" w:line="276" w:before="0" w:after="0"/>
        <w:ind w:firstLine="540" w:left="0"/>
        <w:contextualSpacing/>
        <w:jc w:val="both"/>
        <w:rPr>
          <w:rFonts w:ascii="Times New Roman" w:hAnsi="Times New Roman"/>
          <w:color w:val="000000"/>
          <w:sz w:val="28"/>
          <w:szCs w:val="28"/>
        </w:rPr>
      </w:pPr>
      <w:r>
        <w:rPr>
          <w:rFonts w:ascii="Times New Roman" w:hAnsi="Times New Roman"/>
          <w:b w:val="false"/>
          <w:i w:val="false"/>
          <w:strike w:val="false"/>
          <w:dstrike w:val="false"/>
          <w:color w:val="000000"/>
          <w:sz w:val="28"/>
          <w:szCs w:val="28"/>
          <w:u w:val="none"/>
        </w:rPr>
        <w:t>отчеты о расходовании иных межбюджетных трансфертов и достижении значения результата предоставления иных межбюджетных трансфертов, установленного в соглашении, - ежегодно, не позднее 15 января года, следующего за отчетным, по формам, установленным соглашением.</w:t>
      </w:r>
    </w:p>
    <w:p>
      <w:pPr>
        <w:pStyle w:val="Normal"/>
        <w:spacing w:lineRule="auto" w:line="276" w:before="0" w:after="0"/>
        <w:ind w:firstLine="540" w:left="0"/>
        <w:contextualSpacing/>
        <w:jc w:val="both"/>
        <w:rPr>
          <w:rFonts w:ascii="Times New Roman" w:hAnsi="Times New Roman"/>
          <w:color w:val="000000"/>
          <w:sz w:val="28"/>
          <w:szCs w:val="28"/>
        </w:rPr>
      </w:pPr>
      <w:r>
        <w:rPr>
          <w:rFonts w:ascii="Times New Roman" w:hAnsi="Times New Roman"/>
          <w:b w:val="false"/>
          <w:i w:val="false"/>
          <w:strike w:val="false"/>
          <w:dstrike w:val="false"/>
          <w:color w:val="000000"/>
          <w:sz w:val="28"/>
          <w:szCs w:val="28"/>
          <w:u w:val="none"/>
        </w:rPr>
        <w:t>10. Результатом предоставления иных межбюджетных трансфертов является количество муниципальных общеобразовательных организаций и их структурных подразделений, реализующих мероприятия по обеспечению деятельности советников, расположенных на территории муниципального образования, местному бюджету которого предоставлен иной межбюджетный трансферт, в год предоставления иного межбюджетного трансферта. Значение данного результата устанавливается соглашением.</w:t>
      </w:r>
      <w:bookmarkStart w:id="3" w:name="Par12"/>
    </w:p>
    <w:p>
      <w:pPr>
        <w:pStyle w:val="Normal"/>
        <w:spacing w:lineRule="auto" w:line="276" w:before="0" w:after="0"/>
        <w:ind w:firstLine="540" w:left="0"/>
        <w:contextualSpacing/>
        <w:jc w:val="both"/>
        <w:rPr>
          <w:rFonts w:ascii="Times New Roman" w:hAnsi="Times New Roman"/>
          <w:color w:val="000000"/>
          <w:sz w:val="28"/>
          <w:szCs w:val="28"/>
        </w:rPr>
      </w:pPr>
      <w:r>
        <w:rPr>
          <w:rFonts w:ascii="Times New Roman" w:hAnsi="Times New Roman"/>
          <w:b w:val="false"/>
          <w:i w:val="false"/>
          <w:strike w:val="false"/>
          <w:dstrike w:val="false"/>
          <w:color w:val="000000"/>
          <w:sz w:val="28"/>
          <w:szCs w:val="28"/>
          <w:u w:val="none"/>
        </w:rPr>
        <w:t>11. Размер иных межбюджетных трансфертов i-му муниципальному образованию (T1i) определяется по формуле:</w:t>
      </w:r>
    </w:p>
    <w:p>
      <w:pPr>
        <w:pStyle w:val="Normal"/>
        <w:numPr>
          <w:ilvl w:val="0"/>
          <w:numId w:val="0"/>
        </w:numPr>
        <w:spacing w:lineRule="auto" w:line="276" w:before="0" w:after="0"/>
        <w:ind w:firstLine="540" w:left="0"/>
        <w:contextualSpacing/>
        <w:jc w:val="both"/>
        <w:outlineLvl w:val="0"/>
        <w:rPr>
          <w:rFonts w:ascii="Times New Roman" w:hAnsi="Times New Roman"/>
          <w:b w:val="false"/>
          <w:i w:val="false"/>
          <w:i w:val="false"/>
          <w:strike w:val="false"/>
          <w:dstrike w:val="false"/>
          <w:color w:val="000000"/>
          <w:sz w:val="28"/>
          <w:szCs w:val="28"/>
          <w:u w:val="none"/>
        </w:rPr>
      </w:pPr>
      <w:r>
        <w:rPr>
          <w:rFonts w:ascii="Times New Roman" w:hAnsi="Times New Roman"/>
          <w:b w:val="false"/>
          <w:i w:val="false"/>
          <w:strike w:val="false"/>
          <w:dstrike w:val="false"/>
          <w:color w:val="000000"/>
          <w:sz w:val="28"/>
          <w:szCs w:val="28"/>
          <w:u w:val="none"/>
        </w:rPr>
      </w:r>
    </w:p>
    <w:p>
      <w:pPr>
        <w:pStyle w:val="Normal"/>
        <w:spacing w:lineRule="auto" w:line="276" w:before="0" w:after="0"/>
        <w:ind w:hanging="0" w:left="0"/>
        <w:contextualSpacing/>
        <w:jc w:val="center"/>
        <w:rPr>
          <w:rFonts w:ascii="Times New Roman" w:hAnsi="Times New Roman"/>
          <w:color w:val="000000"/>
          <w:sz w:val="28"/>
          <w:szCs w:val="28"/>
        </w:rPr>
      </w:pPr>
      <w:r>
        <w:rPr>
          <w:rFonts w:ascii="Times New Roman" w:hAnsi="Times New Roman"/>
          <w:b w:val="false"/>
          <w:i w:val="false"/>
          <w:strike w:val="false"/>
          <w:dstrike w:val="false"/>
          <w:color w:val="000000"/>
          <w:sz w:val="28"/>
          <w:szCs w:val="28"/>
          <w:u w:val="none"/>
        </w:rPr>
        <w:t>T</w:t>
      </w:r>
      <w:r>
        <w:rPr>
          <w:rFonts w:ascii="Times New Roman" w:hAnsi="Times New Roman"/>
          <w:b w:val="false"/>
          <w:i w:val="false"/>
          <w:strike w:val="false"/>
          <w:dstrike w:val="false"/>
          <w:color w:val="000000"/>
          <w:sz w:val="28"/>
          <w:szCs w:val="28"/>
          <w:u w:val="none"/>
          <w:vertAlign w:val="subscript"/>
        </w:rPr>
        <w:t>1i</w:t>
      </w:r>
      <w:r>
        <w:rPr>
          <w:rFonts w:ascii="Times New Roman" w:hAnsi="Times New Roman"/>
          <w:b w:val="false"/>
          <w:i w:val="false"/>
          <w:strike w:val="false"/>
          <w:dstrike w:val="false"/>
          <w:color w:val="000000"/>
          <w:sz w:val="28"/>
          <w:szCs w:val="28"/>
          <w:u w:val="none"/>
        </w:rPr>
        <w:t xml:space="preserve"> = T</w:t>
      </w:r>
      <w:r>
        <w:rPr>
          <w:rFonts w:ascii="Times New Roman" w:hAnsi="Times New Roman"/>
          <w:b w:val="false"/>
          <w:i w:val="false"/>
          <w:strike w:val="false"/>
          <w:dstrike w:val="false"/>
          <w:color w:val="000000"/>
          <w:sz w:val="28"/>
          <w:szCs w:val="28"/>
          <w:u w:val="none"/>
          <w:vertAlign w:val="subscript"/>
        </w:rPr>
        <w:t>кр</w:t>
      </w:r>
      <w:r>
        <w:rPr>
          <w:rFonts w:ascii="Times New Roman" w:hAnsi="Times New Roman"/>
          <w:b w:val="false"/>
          <w:i w:val="false"/>
          <w:strike w:val="false"/>
          <w:dstrike w:val="false"/>
          <w:color w:val="000000"/>
          <w:sz w:val="28"/>
          <w:szCs w:val="28"/>
          <w:u w:val="none"/>
        </w:rPr>
        <w:t xml:space="preserve"> x H</w:t>
      </w:r>
      <w:r>
        <w:rPr>
          <w:rFonts w:ascii="Times New Roman" w:hAnsi="Times New Roman"/>
          <w:b w:val="false"/>
          <w:i w:val="false"/>
          <w:strike w:val="false"/>
          <w:dstrike w:val="false"/>
          <w:color w:val="000000"/>
          <w:sz w:val="28"/>
          <w:szCs w:val="28"/>
          <w:u w:val="none"/>
          <w:vertAlign w:val="subscript"/>
        </w:rPr>
        <w:t>1i</w:t>
      </w:r>
      <w:r>
        <w:rPr>
          <w:rFonts w:ascii="Times New Roman" w:hAnsi="Times New Roman"/>
          <w:b w:val="false"/>
          <w:i w:val="false"/>
          <w:strike w:val="false"/>
          <w:dstrike w:val="false"/>
          <w:color w:val="000000"/>
          <w:sz w:val="28"/>
          <w:szCs w:val="28"/>
          <w:u w:val="none"/>
        </w:rPr>
        <w:t xml:space="preserve"> x N</w:t>
      </w:r>
      <w:r>
        <w:rPr>
          <w:rFonts w:ascii="Times New Roman" w:hAnsi="Times New Roman"/>
          <w:b w:val="false"/>
          <w:i w:val="false"/>
          <w:strike w:val="false"/>
          <w:dstrike w:val="false"/>
          <w:color w:val="000000"/>
          <w:sz w:val="28"/>
          <w:szCs w:val="28"/>
          <w:u w:val="none"/>
          <w:vertAlign w:val="subscript"/>
        </w:rPr>
        <w:t>m</w:t>
      </w:r>
      <w:r>
        <w:rPr>
          <w:rFonts w:ascii="Times New Roman" w:hAnsi="Times New Roman"/>
          <w:b w:val="false"/>
          <w:i w:val="false"/>
          <w:strike w:val="false"/>
          <w:dstrike w:val="false"/>
          <w:color w:val="000000"/>
          <w:sz w:val="28"/>
          <w:szCs w:val="28"/>
          <w:u w:val="none"/>
        </w:rPr>
        <w:t xml:space="preserve"> x S</w:t>
      </w:r>
      <w:r>
        <w:rPr>
          <w:rFonts w:ascii="Times New Roman" w:hAnsi="Times New Roman"/>
          <w:b w:val="false"/>
          <w:i w:val="false"/>
          <w:strike w:val="false"/>
          <w:dstrike w:val="false"/>
          <w:color w:val="000000"/>
          <w:sz w:val="28"/>
          <w:szCs w:val="28"/>
          <w:u w:val="none"/>
          <w:vertAlign w:val="subscript"/>
        </w:rPr>
        <w:t>взн</w:t>
      </w:r>
      <w:r>
        <w:rPr>
          <w:rFonts w:ascii="Times New Roman" w:hAnsi="Times New Roman"/>
          <w:b w:val="false"/>
          <w:i w:val="false"/>
          <w:strike w:val="false"/>
          <w:dstrike w:val="false"/>
          <w:color w:val="000000"/>
          <w:sz w:val="28"/>
          <w:szCs w:val="28"/>
          <w:u w:val="none"/>
        </w:rPr>
        <w:t>, где:</w:t>
      </w:r>
    </w:p>
    <w:p>
      <w:pPr>
        <w:pStyle w:val="Normal"/>
        <w:spacing w:lineRule="auto" w:line="276" w:before="0" w:after="0"/>
        <w:ind w:firstLine="540" w:left="0"/>
        <w:contextualSpacing/>
        <w:jc w:val="both"/>
        <w:rPr>
          <w:rFonts w:ascii="Times New Roman" w:hAnsi="Times New Roman"/>
          <w:b w:val="false"/>
          <w:i w:val="false"/>
          <w:i w:val="false"/>
          <w:strike w:val="false"/>
          <w:dstrike w:val="false"/>
          <w:color w:val="000000"/>
          <w:sz w:val="28"/>
          <w:szCs w:val="28"/>
          <w:u w:val="none"/>
        </w:rPr>
      </w:pPr>
      <w:r>
        <w:rPr>
          <w:rFonts w:ascii="Times New Roman" w:hAnsi="Times New Roman"/>
          <w:b w:val="false"/>
          <w:i w:val="false"/>
          <w:strike w:val="false"/>
          <w:dstrike w:val="false"/>
          <w:color w:val="000000"/>
          <w:sz w:val="28"/>
          <w:szCs w:val="28"/>
          <w:u w:val="none"/>
        </w:rPr>
      </w:r>
    </w:p>
    <w:p>
      <w:pPr>
        <w:pStyle w:val="Normal"/>
        <w:spacing w:lineRule="auto" w:line="276" w:before="0" w:after="0"/>
        <w:ind w:firstLine="540" w:left="0"/>
        <w:contextualSpacing/>
        <w:jc w:val="both"/>
        <w:rPr>
          <w:rFonts w:ascii="Times New Roman" w:hAnsi="Times New Roman"/>
          <w:color w:val="000000"/>
          <w:sz w:val="28"/>
          <w:szCs w:val="28"/>
        </w:rPr>
      </w:pPr>
      <w:r>
        <w:rPr>
          <w:rFonts w:ascii="Times New Roman" w:hAnsi="Times New Roman"/>
          <w:b w:val="false"/>
          <w:i w:val="false"/>
          <w:strike w:val="false"/>
          <w:dstrike w:val="false"/>
          <w:color w:val="000000"/>
          <w:sz w:val="28"/>
          <w:szCs w:val="28"/>
          <w:u w:val="none"/>
        </w:rPr>
        <w:t>T</w:t>
      </w:r>
      <w:r>
        <w:rPr>
          <w:rFonts w:ascii="Times New Roman" w:hAnsi="Times New Roman"/>
          <w:b w:val="false"/>
          <w:i w:val="false"/>
          <w:strike w:val="false"/>
          <w:dstrike w:val="false"/>
          <w:color w:val="000000"/>
          <w:sz w:val="28"/>
          <w:szCs w:val="28"/>
          <w:u w:val="none"/>
          <w:vertAlign w:val="subscript"/>
        </w:rPr>
        <w:t>кр</w:t>
      </w:r>
      <w:r>
        <w:rPr>
          <w:rFonts w:ascii="Times New Roman" w:hAnsi="Times New Roman"/>
          <w:b w:val="false"/>
          <w:i w:val="false"/>
          <w:strike w:val="false"/>
          <w:dstrike w:val="false"/>
          <w:color w:val="000000"/>
          <w:sz w:val="28"/>
          <w:szCs w:val="28"/>
          <w:u w:val="none"/>
        </w:rPr>
        <w:t xml:space="preserve"> - размер среднемесячной начисленной заработной платы, ежегодно определяемый Министерством просвещения Российской Федерации;</w:t>
      </w:r>
    </w:p>
    <w:p>
      <w:pPr>
        <w:pStyle w:val="Normal"/>
        <w:spacing w:lineRule="auto" w:line="276" w:before="0" w:after="0"/>
        <w:ind w:firstLine="540" w:left="0"/>
        <w:contextualSpacing/>
        <w:jc w:val="both"/>
        <w:rPr>
          <w:rFonts w:ascii="Times New Roman" w:hAnsi="Times New Roman"/>
          <w:color w:val="000000"/>
          <w:sz w:val="28"/>
          <w:szCs w:val="28"/>
        </w:rPr>
      </w:pPr>
      <w:r>
        <w:rPr>
          <w:rFonts w:ascii="Times New Roman" w:hAnsi="Times New Roman"/>
          <w:b w:val="false"/>
          <w:i w:val="false"/>
          <w:strike w:val="false"/>
          <w:dstrike w:val="false"/>
          <w:color w:val="000000"/>
          <w:sz w:val="28"/>
          <w:szCs w:val="28"/>
          <w:u w:val="none"/>
        </w:rPr>
        <w:t>H</w:t>
      </w:r>
      <w:r>
        <w:rPr>
          <w:rFonts w:ascii="Times New Roman" w:hAnsi="Times New Roman"/>
          <w:b w:val="false"/>
          <w:i w:val="false"/>
          <w:strike w:val="false"/>
          <w:dstrike w:val="false"/>
          <w:color w:val="000000"/>
          <w:sz w:val="28"/>
          <w:szCs w:val="28"/>
          <w:u w:val="none"/>
          <w:vertAlign w:val="subscript"/>
        </w:rPr>
        <w:t>1i</w:t>
      </w:r>
      <w:r>
        <w:rPr>
          <w:rFonts w:ascii="Times New Roman" w:hAnsi="Times New Roman"/>
          <w:b w:val="false"/>
          <w:i w:val="false"/>
          <w:strike w:val="false"/>
          <w:dstrike w:val="false"/>
          <w:color w:val="000000"/>
          <w:sz w:val="28"/>
          <w:szCs w:val="28"/>
          <w:u w:val="none"/>
        </w:rPr>
        <w:t xml:space="preserve"> - заявленное i-м муниципальным образованием количество муниципальных общеобразовательных организаций и их структурных подразделений, реализующих мероприятия по обеспечению деятельности советников;</w:t>
      </w:r>
    </w:p>
    <w:p>
      <w:pPr>
        <w:pStyle w:val="Normal"/>
        <w:spacing w:lineRule="auto" w:line="276" w:before="0" w:after="0"/>
        <w:ind w:firstLine="540" w:left="0"/>
        <w:contextualSpacing/>
        <w:jc w:val="both"/>
        <w:rPr>
          <w:rFonts w:ascii="Times New Roman" w:hAnsi="Times New Roman"/>
          <w:color w:val="000000"/>
          <w:sz w:val="28"/>
          <w:szCs w:val="28"/>
        </w:rPr>
      </w:pPr>
      <w:r>
        <w:rPr>
          <w:rFonts w:ascii="Times New Roman" w:hAnsi="Times New Roman"/>
          <w:b w:val="false"/>
          <w:i w:val="false"/>
          <w:strike w:val="false"/>
          <w:dstrike w:val="false"/>
          <w:color w:val="000000"/>
          <w:sz w:val="28"/>
          <w:szCs w:val="28"/>
          <w:u w:val="none"/>
        </w:rPr>
        <w:t>N</w:t>
      </w:r>
      <w:r>
        <w:rPr>
          <w:rFonts w:ascii="Times New Roman" w:hAnsi="Times New Roman"/>
          <w:b w:val="false"/>
          <w:i w:val="false"/>
          <w:strike w:val="false"/>
          <w:dstrike w:val="false"/>
          <w:color w:val="000000"/>
          <w:sz w:val="28"/>
          <w:szCs w:val="28"/>
          <w:u w:val="none"/>
          <w:vertAlign w:val="subscript"/>
        </w:rPr>
        <w:t>m</w:t>
      </w:r>
      <w:r>
        <w:rPr>
          <w:rFonts w:ascii="Times New Roman" w:hAnsi="Times New Roman"/>
          <w:b w:val="false"/>
          <w:i w:val="false"/>
          <w:strike w:val="false"/>
          <w:dstrike w:val="false"/>
          <w:color w:val="000000"/>
          <w:sz w:val="28"/>
          <w:szCs w:val="28"/>
          <w:u w:val="none"/>
        </w:rPr>
        <w:t xml:space="preserve"> - количество месяцев в году, в которые обеспечивается деятельность советников;</w:t>
      </w:r>
    </w:p>
    <w:p>
      <w:pPr>
        <w:pStyle w:val="Normal"/>
        <w:spacing w:lineRule="auto" w:line="276" w:before="0" w:after="0"/>
        <w:ind w:firstLine="540" w:left="0"/>
        <w:contextualSpacing/>
        <w:jc w:val="both"/>
        <w:rPr>
          <w:rFonts w:ascii="Times New Roman" w:hAnsi="Times New Roman"/>
          <w:color w:val="000000"/>
          <w:sz w:val="28"/>
          <w:szCs w:val="28"/>
        </w:rPr>
      </w:pPr>
      <w:r>
        <w:rPr>
          <w:rFonts w:ascii="Times New Roman" w:hAnsi="Times New Roman"/>
          <w:b w:val="false"/>
          <w:i w:val="false"/>
          <w:strike w:val="false"/>
          <w:dstrike w:val="false"/>
          <w:color w:val="000000"/>
          <w:sz w:val="28"/>
          <w:szCs w:val="28"/>
          <w:u w:val="none"/>
        </w:rPr>
        <w:t>S</w:t>
      </w:r>
      <w:r>
        <w:rPr>
          <w:rFonts w:ascii="Times New Roman" w:hAnsi="Times New Roman"/>
          <w:b w:val="false"/>
          <w:i w:val="false"/>
          <w:strike w:val="false"/>
          <w:dstrike w:val="false"/>
          <w:color w:val="000000"/>
          <w:sz w:val="28"/>
          <w:szCs w:val="28"/>
          <w:u w:val="none"/>
          <w:vertAlign w:val="subscript"/>
        </w:rPr>
        <w:t>взн</w:t>
      </w:r>
      <w:r>
        <w:rPr>
          <w:rFonts w:ascii="Times New Roman" w:hAnsi="Times New Roman"/>
          <w:b w:val="false"/>
          <w:i w:val="false"/>
          <w:strike w:val="false"/>
          <w:dstrike w:val="false"/>
          <w:color w:val="000000"/>
          <w:sz w:val="28"/>
          <w:szCs w:val="28"/>
          <w:u w:val="none"/>
        </w:rPr>
        <w:t xml:space="preserve"> - страховые взносы в государственные внебюджетные фонды.</w:t>
      </w:r>
    </w:p>
    <w:p>
      <w:pPr>
        <w:pStyle w:val="Normal"/>
        <w:spacing w:lineRule="auto" w:line="276" w:before="0" w:after="0"/>
        <w:ind w:firstLine="540" w:left="0"/>
        <w:contextualSpacing/>
        <w:jc w:val="both"/>
        <w:rPr/>
      </w:pPr>
      <w:r>
        <w:rPr>
          <w:rFonts w:ascii="Times New Roman" w:hAnsi="Times New Roman"/>
          <w:b w:val="false"/>
          <w:i w:val="false"/>
          <w:strike w:val="false"/>
          <w:dstrike w:val="false"/>
          <w:color w:val="000000"/>
          <w:sz w:val="28"/>
          <w:szCs w:val="28"/>
          <w:u w:val="none"/>
        </w:rPr>
        <w:t xml:space="preserve">12. Оценка эффективности предоставления иных межбюджетных трансфертов осуществляется министерством на основании сравнения достигнутого значения результата предоставления иных межбюджетных трансфертов органом местного самоуправления и установленного соглашением значения такого, предусмотренного </w:t>
      </w:r>
      <w:hyperlink w:anchor="Par12">
        <w:r>
          <w:rPr>
            <w:rStyle w:val="Hyperlink"/>
            <w:rFonts w:ascii="Times New Roman" w:hAnsi="Times New Roman"/>
            <w:b w:val="false"/>
            <w:i w:val="false"/>
            <w:strike w:val="false"/>
            <w:dstrike w:val="false"/>
            <w:color w:val="000000"/>
            <w:sz w:val="28"/>
            <w:szCs w:val="28"/>
            <w:u w:val="none"/>
          </w:rPr>
          <w:t>пунктом 10</w:t>
        </w:r>
      </w:hyperlink>
      <w:r>
        <w:rPr>
          <w:rFonts w:ascii="Times New Roman" w:hAnsi="Times New Roman"/>
          <w:b w:val="false"/>
          <w:i w:val="false"/>
          <w:strike w:val="false"/>
          <w:dstrike w:val="false"/>
          <w:color w:val="000000"/>
          <w:sz w:val="28"/>
          <w:szCs w:val="28"/>
          <w:u w:val="none"/>
        </w:rPr>
        <w:t xml:space="preserve"> настоящей Методики, результата, как количество муниципальных общеобразовательных организаций и их структурных подразделений, реализующих мероприятия по обеспечению деятельности советников.</w:t>
      </w:r>
    </w:p>
    <w:p>
      <w:pPr>
        <w:pStyle w:val="Normal"/>
        <w:spacing w:lineRule="auto" w:line="276" w:before="0" w:after="0"/>
        <w:ind w:firstLine="540" w:left="0"/>
        <w:contextualSpacing/>
        <w:jc w:val="both"/>
        <w:rPr>
          <w:rFonts w:ascii="Times New Roman" w:hAnsi="Times New Roman"/>
          <w:color w:val="000000"/>
          <w:sz w:val="28"/>
          <w:szCs w:val="28"/>
        </w:rPr>
      </w:pPr>
      <w:r>
        <w:rPr>
          <w:rFonts w:ascii="Times New Roman" w:hAnsi="Times New Roman"/>
          <w:b w:val="false"/>
          <w:i w:val="false"/>
          <w:strike w:val="false"/>
          <w:dstrike w:val="false"/>
          <w:color w:val="000000"/>
          <w:sz w:val="28"/>
          <w:szCs w:val="28"/>
          <w:u w:val="none"/>
        </w:rPr>
        <w:t>13. Министерство и орган государственного финансового контроля осуществляют обязательную проверку соблюдения настоящей Методики органами местного самоуправления.</w:t>
      </w:r>
    </w:p>
    <w:p>
      <w:pPr>
        <w:pStyle w:val="Normal"/>
        <w:spacing w:lineRule="auto" w:line="276" w:before="0" w:after="0"/>
        <w:ind w:firstLine="540" w:left="0"/>
        <w:contextualSpacing/>
        <w:jc w:val="both"/>
        <w:rPr>
          <w:rFonts w:ascii="Times New Roman" w:hAnsi="Times New Roman"/>
          <w:color w:val="000000"/>
          <w:sz w:val="28"/>
          <w:szCs w:val="28"/>
        </w:rPr>
      </w:pPr>
      <w:r>
        <w:rPr>
          <w:rFonts w:ascii="Times New Roman" w:hAnsi="Times New Roman"/>
          <w:b w:val="false"/>
          <w:i w:val="false"/>
          <w:strike w:val="false"/>
          <w:dstrike w:val="false"/>
          <w:color w:val="000000"/>
          <w:sz w:val="28"/>
          <w:szCs w:val="28"/>
          <w:u w:val="none"/>
        </w:rPr>
        <w:t>14. В случае если муниципальным образованием по состоянию на 31 декабря года предоставления иных межбюджетных трансфертов допущено недостижение значения результата предоставления иных межбюджетных трансфертов, установленного соглашением, размер средств, подлежащих возврату из местного бюджета в областной бюджет Новосибирской области до 1 апреля года, следующего за годом предоставления иных межбюджетных трансфертов (Т</w:t>
      </w:r>
      <w:r>
        <w:rPr>
          <w:rFonts w:ascii="Times New Roman" w:hAnsi="Times New Roman"/>
          <w:b w:val="false"/>
          <w:i w:val="false"/>
          <w:strike w:val="false"/>
          <w:dstrike w:val="false"/>
          <w:color w:val="000000"/>
          <w:sz w:val="28"/>
          <w:szCs w:val="28"/>
          <w:u w:val="none"/>
          <w:vertAlign w:val="subscript"/>
        </w:rPr>
        <w:t>2i</w:t>
      </w:r>
      <w:r>
        <w:rPr>
          <w:rFonts w:ascii="Times New Roman" w:hAnsi="Times New Roman"/>
          <w:b w:val="false"/>
          <w:i w:val="false"/>
          <w:strike w:val="false"/>
          <w:dstrike w:val="false"/>
          <w:color w:val="000000"/>
          <w:sz w:val="28"/>
          <w:szCs w:val="28"/>
          <w:u w:val="none"/>
        </w:rPr>
        <w:t>), определяется по формуле:</w:t>
      </w:r>
    </w:p>
    <w:p>
      <w:pPr>
        <w:pStyle w:val="Normal"/>
        <w:spacing w:lineRule="auto" w:line="276" w:before="0" w:after="0"/>
        <w:ind w:firstLine="540" w:left="0"/>
        <w:contextualSpacing/>
        <w:jc w:val="both"/>
        <w:rPr>
          <w:rFonts w:ascii="Times New Roman" w:hAnsi="Times New Roman"/>
          <w:b w:val="false"/>
          <w:i w:val="false"/>
          <w:i w:val="false"/>
          <w:strike w:val="false"/>
          <w:dstrike w:val="false"/>
          <w:color w:val="000000"/>
          <w:sz w:val="28"/>
          <w:szCs w:val="28"/>
          <w:u w:val="none"/>
        </w:rPr>
      </w:pPr>
      <w:r>
        <w:rPr>
          <w:rFonts w:ascii="Times New Roman" w:hAnsi="Times New Roman"/>
          <w:b w:val="false"/>
          <w:i w:val="false"/>
          <w:strike w:val="false"/>
          <w:dstrike w:val="false"/>
          <w:color w:val="000000"/>
          <w:sz w:val="28"/>
          <w:szCs w:val="28"/>
          <w:u w:val="none"/>
        </w:rPr>
      </w:r>
    </w:p>
    <w:p>
      <w:pPr>
        <w:pStyle w:val="Normal"/>
        <w:spacing w:lineRule="auto" w:line="276" w:before="0" w:after="0"/>
        <w:ind w:hanging="0" w:left="0"/>
        <w:contextualSpacing/>
        <w:jc w:val="center"/>
        <w:rPr>
          <w:rFonts w:ascii="Times New Roman" w:hAnsi="Times New Roman"/>
          <w:color w:val="000000"/>
          <w:sz w:val="28"/>
          <w:szCs w:val="28"/>
        </w:rPr>
      </w:pPr>
      <w:r>
        <w:rPr>
          <w:rFonts w:ascii="Times New Roman" w:hAnsi="Times New Roman"/>
          <w:b w:val="false"/>
          <w:i w:val="false"/>
          <w:strike w:val="false"/>
          <w:dstrike w:val="false"/>
          <w:color w:val="000000"/>
          <w:sz w:val="28"/>
          <w:szCs w:val="28"/>
          <w:u w:val="none"/>
        </w:rPr>
        <w:t>T</w:t>
      </w:r>
      <w:r>
        <w:rPr>
          <w:rFonts w:ascii="Times New Roman" w:hAnsi="Times New Roman"/>
          <w:b w:val="false"/>
          <w:i w:val="false"/>
          <w:strike w:val="false"/>
          <w:dstrike w:val="false"/>
          <w:color w:val="000000"/>
          <w:sz w:val="28"/>
          <w:szCs w:val="28"/>
          <w:u w:val="none"/>
          <w:vertAlign w:val="subscript"/>
        </w:rPr>
        <w:t>2i</w:t>
      </w:r>
      <w:r>
        <w:rPr>
          <w:rFonts w:ascii="Times New Roman" w:hAnsi="Times New Roman"/>
          <w:b w:val="false"/>
          <w:i w:val="false"/>
          <w:strike w:val="false"/>
          <w:dstrike w:val="false"/>
          <w:color w:val="000000"/>
          <w:sz w:val="28"/>
          <w:szCs w:val="28"/>
          <w:u w:val="none"/>
        </w:rPr>
        <w:t xml:space="preserve"> = T</w:t>
      </w:r>
      <w:r>
        <w:rPr>
          <w:rFonts w:ascii="Times New Roman" w:hAnsi="Times New Roman"/>
          <w:b w:val="false"/>
          <w:i w:val="false"/>
          <w:strike w:val="false"/>
          <w:dstrike w:val="false"/>
          <w:color w:val="000000"/>
          <w:sz w:val="28"/>
          <w:szCs w:val="28"/>
          <w:u w:val="none"/>
          <w:vertAlign w:val="subscript"/>
        </w:rPr>
        <w:t>1i</w:t>
      </w:r>
      <w:r>
        <w:rPr>
          <w:rFonts w:ascii="Times New Roman" w:hAnsi="Times New Roman"/>
          <w:b w:val="false"/>
          <w:i w:val="false"/>
          <w:strike w:val="false"/>
          <w:dstrike w:val="false"/>
          <w:color w:val="000000"/>
          <w:sz w:val="28"/>
          <w:szCs w:val="28"/>
          <w:u w:val="none"/>
        </w:rPr>
        <w:t xml:space="preserve"> - (T</w:t>
      </w:r>
      <w:r>
        <w:rPr>
          <w:rFonts w:ascii="Times New Roman" w:hAnsi="Times New Roman"/>
          <w:b w:val="false"/>
          <w:i w:val="false"/>
          <w:strike w:val="false"/>
          <w:dstrike w:val="false"/>
          <w:color w:val="000000"/>
          <w:sz w:val="28"/>
          <w:szCs w:val="28"/>
          <w:u w:val="none"/>
          <w:vertAlign w:val="subscript"/>
        </w:rPr>
        <w:t>кр</w:t>
      </w:r>
      <w:r>
        <w:rPr>
          <w:rFonts w:ascii="Times New Roman" w:hAnsi="Times New Roman"/>
          <w:b w:val="false"/>
          <w:i w:val="false"/>
          <w:strike w:val="false"/>
          <w:dstrike w:val="false"/>
          <w:color w:val="000000"/>
          <w:sz w:val="28"/>
          <w:szCs w:val="28"/>
          <w:u w:val="none"/>
        </w:rPr>
        <w:t xml:space="preserve"> x H</w:t>
      </w:r>
      <w:r>
        <w:rPr>
          <w:rFonts w:ascii="Times New Roman" w:hAnsi="Times New Roman"/>
          <w:b w:val="false"/>
          <w:i w:val="false"/>
          <w:strike w:val="false"/>
          <w:dstrike w:val="false"/>
          <w:color w:val="000000"/>
          <w:sz w:val="28"/>
          <w:szCs w:val="28"/>
          <w:u w:val="none"/>
          <w:vertAlign w:val="subscript"/>
        </w:rPr>
        <w:t>2i</w:t>
      </w:r>
      <w:r>
        <w:rPr>
          <w:rFonts w:ascii="Times New Roman" w:hAnsi="Times New Roman"/>
          <w:b w:val="false"/>
          <w:i w:val="false"/>
          <w:strike w:val="false"/>
          <w:dstrike w:val="false"/>
          <w:color w:val="000000"/>
          <w:sz w:val="28"/>
          <w:szCs w:val="28"/>
          <w:u w:val="none"/>
        </w:rPr>
        <w:t xml:space="preserve"> x N</w:t>
      </w:r>
      <w:r>
        <w:rPr>
          <w:rFonts w:ascii="Times New Roman" w:hAnsi="Times New Roman"/>
          <w:b w:val="false"/>
          <w:i w:val="false"/>
          <w:strike w:val="false"/>
          <w:dstrike w:val="false"/>
          <w:color w:val="000000"/>
          <w:sz w:val="28"/>
          <w:szCs w:val="28"/>
          <w:u w:val="none"/>
          <w:vertAlign w:val="subscript"/>
        </w:rPr>
        <w:t>m</w:t>
      </w:r>
      <w:r>
        <w:rPr>
          <w:rFonts w:ascii="Times New Roman" w:hAnsi="Times New Roman"/>
          <w:b w:val="false"/>
          <w:i w:val="false"/>
          <w:strike w:val="false"/>
          <w:dstrike w:val="false"/>
          <w:color w:val="000000"/>
          <w:sz w:val="28"/>
          <w:szCs w:val="28"/>
          <w:u w:val="none"/>
        </w:rPr>
        <w:t xml:space="preserve"> x S</w:t>
      </w:r>
      <w:r>
        <w:rPr>
          <w:rFonts w:ascii="Times New Roman" w:hAnsi="Times New Roman"/>
          <w:b w:val="false"/>
          <w:i w:val="false"/>
          <w:strike w:val="false"/>
          <w:dstrike w:val="false"/>
          <w:color w:val="000000"/>
          <w:sz w:val="28"/>
          <w:szCs w:val="28"/>
          <w:u w:val="none"/>
          <w:vertAlign w:val="subscript"/>
        </w:rPr>
        <w:t>взн</w:t>
      </w:r>
      <w:r>
        <w:rPr>
          <w:rFonts w:ascii="Times New Roman" w:hAnsi="Times New Roman"/>
          <w:b w:val="false"/>
          <w:i w:val="false"/>
          <w:strike w:val="false"/>
          <w:dstrike w:val="false"/>
          <w:color w:val="000000"/>
          <w:sz w:val="28"/>
          <w:szCs w:val="28"/>
          <w:u w:val="none"/>
        </w:rPr>
        <w:t>), где:</w:t>
      </w:r>
    </w:p>
    <w:p>
      <w:pPr>
        <w:pStyle w:val="Normal"/>
        <w:spacing w:lineRule="auto" w:line="276" w:before="0" w:after="0"/>
        <w:ind w:firstLine="540" w:left="0"/>
        <w:contextualSpacing/>
        <w:jc w:val="both"/>
        <w:rPr>
          <w:rFonts w:ascii="Times New Roman" w:hAnsi="Times New Roman"/>
          <w:b w:val="false"/>
          <w:i w:val="false"/>
          <w:i w:val="false"/>
          <w:strike w:val="false"/>
          <w:dstrike w:val="false"/>
          <w:color w:val="000000"/>
          <w:sz w:val="28"/>
          <w:szCs w:val="28"/>
          <w:u w:val="none"/>
        </w:rPr>
      </w:pPr>
      <w:r>
        <w:rPr>
          <w:rFonts w:ascii="Times New Roman" w:hAnsi="Times New Roman"/>
          <w:b w:val="false"/>
          <w:i w:val="false"/>
          <w:strike w:val="false"/>
          <w:dstrike w:val="false"/>
          <w:color w:val="000000"/>
          <w:sz w:val="28"/>
          <w:szCs w:val="28"/>
          <w:u w:val="none"/>
        </w:rPr>
      </w:r>
    </w:p>
    <w:p>
      <w:pPr>
        <w:pStyle w:val="Normal"/>
        <w:spacing w:lineRule="auto" w:line="276" w:before="0" w:after="0"/>
        <w:ind w:firstLine="540" w:left="0"/>
        <w:contextualSpacing/>
        <w:jc w:val="both"/>
        <w:rPr>
          <w:rFonts w:ascii="Times New Roman" w:hAnsi="Times New Roman"/>
          <w:color w:val="000000"/>
          <w:sz w:val="28"/>
          <w:szCs w:val="28"/>
        </w:rPr>
      </w:pPr>
      <w:r>
        <w:rPr>
          <w:rFonts w:ascii="Times New Roman" w:hAnsi="Times New Roman"/>
          <w:b w:val="false"/>
          <w:i w:val="false"/>
          <w:strike w:val="false"/>
          <w:dstrike w:val="false"/>
          <w:color w:val="000000"/>
          <w:sz w:val="28"/>
          <w:szCs w:val="28"/>
          <w:u w:val="none"/>
        </w:rPr>
        <w:t>H</w:t>
      </w:r>
      <w:r>
        <w:rPr>
          <w:rFonts w:ascii="Times New Roman" w:hAnsi="Times New Roman"/>
          <w:b w:val="false"/>
          <w:i w:val="false"/>
          <w:strike w:val="false"/>
          <w:dstrike w:val="false"/>
          <w:color w:val="000000"/>
          <w:sz w:val="28"/>
          <w:szCs w:val="28"/>
          <w:u w:val="none"/>
          <w:vertAlign w:val="subscript"/>
        </w:rPr>
        <w:t>2i</w:t>
      </w:r>
      <w:r>
        <w:rPr>
          <w:rFonts w:ascii="Times New Roman" w:hAnsi="Times New Roman"/>
          <w:b w:val="false"/>
          <w:i w:val="false"/>
          <w:strike w:val="false"/>
          <w:dstrike w:val="false"/>
          <w:color w:val="000000"/>
          <w:sz w:val="28"/>
          <w:szCs w:val="28"/>
          <w:u w:val="none"/>
        </w:rPr>
        <w:t xml:space="preserve"> - фактическая численность муниципальных общеобразовательных организаций и их структурных подразделений, реализующих мероприятия по обеспечению деятельности советников, i-го муниципального образования.</w:t>
      </w:r>
    </w:p>
    <w:p>
      <w:pPr>
        <w:pStyle w:val="Normal"/>
        <w:spacing w:lineRule="auto" w:line="276" w:before="0" w:after="0"/>
        <w:ind w:firstLine="540" w:left="0"/>
        <w:contextualSpacing/>
        <w:jc w:val="both"/>
        <w:rPr>
          <w:rFonts w:ascii="Times New Roman" w:hAnsi="Times New Roman"/>
          <w:color w:val="000000"/>
          <w:sz w:val="28"/>
          <w:szCs w:val="28"/>
        </w:rPr>
      </w:pPr>
      <w:r>
        <w:rPr>
          <w:rFonts w:ascii="Times New Roman" w:hAnsi="Times New Roman"/>
          <w:b w:val="false"/>
          <w:i w:val="false"/>
          <w:strike w:val="false"/>
          <w:dstrike w:val="false"/>
          <w:color w:val="000000"/>
          <w:sz w:val="28"/>
          <w:szCs w:val="28"/>
          <w:u w:val="none"/>
        </w:rPr>
        <w:t>15. В случае нецелевого использования иного межбюджетного трансферта органом местного самоуправления к нему применяются бюджетные меры принуждения, предусмотренные бюджетным законодательством Российской Федерации.</w:t>
      </w:r>
    </w:p>
    <w:p>
      <w:pPr>
        <w:pStyle w:val="Normal"/>
        <w:spacing w:lineRule="auto" w:line="276" w:before="0" w:after="0"/>
        <w:ind w:firstLine="540" w:left="0"/>
        <w:contextualSpacing/>
        <w:jc w:val="both"/>
        <w:rPr>
          <w:rFonts w:ascii="Times New Roman" w:hAnsi="Times New Roman"/>
          <w:color w:val="000000"/>
          <w:sz w:val="28"/>
          <w:szCs w:val="28"/>
        </w:rPr>
      </w:pPr>
      <w:r>
        <w:rPr>
          <w:rFonts w:ascii="Times New Roman" w:hAnsi="Times New Roman"/>
          <w:b w:val="false"/>
          <w:i w:val="false"/>
          <w:strike w:val="false"/>
          <w:dstrike w:val="false"/>
          <w:color w:val="000000"/>
          <w:sz w:val="28"/>
          <w:szCs w:val="28"/>
          <w:u w:val="none"/>
        </w:rPr>
        <w:t>16. Ответственность за достоверность представляемых в министерство информации и документов, предусмотренных настоящей Методикой, возлагается на органы местного самоуправления.</w:t>
      </w:r>
    </w:p>
    <w:p>
      <w:pPr>
        <w:pStyle w:val="Normal"/>
        <w:spacing w:lineRule="auto" w:line="276" w:before="0" w:after="0"/>
        <w:ind w:firstLine="540" w:left="0"/>
        <w:contextualSpacing/>
        <w:jc w:val="both"/>
        <w:rPr>
          <w:rFonts w:ascii="Times New Roman" w:hAnsi="Times New Roman"/>
          <w:color w:val="000000"/>
          <w:sz w:val="28"/>
          <w:szCs w:val="28"/>
        </w:rPr>
      </w:pPr>
      <w:r>
        <w:rPr>
          <w:rFonts w:ascii="Times New Roman" w:hAnsi="Times New Roman"/>
          <w:b w:val="false"/>
          <w:i w:val="false"/>
          <w:strike w:val="false"/>
          <w:dstrike w:val="false"/>
          <w:color w:val="000000"/>
          <w:sz w:val="28"/>
          <w:szCs w:val="28"/>
          <w:u w:val="none"/>
        </w:rPr>
        <w:t>17. Контроль за целевым использованием межбюджетных трансфертов осуществляется министерством и органами государственного финансового контроля Новосибирской области в соответствии с бюджетным законодательством Российской Федерации.</w:t>
      </w:r>
    </w:p>
    <w:p>
      <w:pPr>
        <w:pStyle w:val="Normal"/>
        <w:ind w:firstLine="709"/>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709"/>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709"/>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709"/>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firstLine="709"/>
        <w:rPr>
          <w:rFonts w:ascii="Times New Roman" w:hAnsi="Times New Roman" w:cs="Times New Roman"/>
          <w:sz w:val="28"/>
          <w:szCs w:val="28"/>
        </w:rPr>
      </w:pPr>
      <w:r>
        <w:rPr>
          <w:rFonts w:cs="Times New Roman" w:ascii="Times New Roman" w:hAnsi="Times New Roman"/>
          <w:sz w:val="28"/>
          <w:szCs w:val="28"/>
        </w:rPr>
      </w:r>
    </w:p>
    <w:p>
      <w:pPr>
        <w:pStyle w:val="Normal"/>
        <w:widowControl w:val="false"/>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 xml:space="preserve">Исполняющий обязанности </w:t>
      </w:r>
    </w:p>
    <w:p>
      <w:pPr>
        <w:pStyle w:val="Normal"/>
        <w:widowControl w:val="false"/>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м</w:t>
      </w:r>
      <w:r>
        <w:rPr>
          <w:rFonts w:cs="Times New Roman" w:ascii="Times New Roman" w:hAnsi="Times New Roman"/>
          <w:sz w:val="28"/>
          <w:szCs w:val="28"/>
        </w:rPr>
        <w:t>инистр</w:t>
      </w:r>
      <w:r>
        <w:rPr>
          <w:rFonts w:cs="Times New Roman" w:ascii="Times New Roman" w:hAnsi="Times New Roman"/>
          <w:sz w:val="28"/>
          <w:szCs w:val="28"/>
        </w:rPr>
        <w:t>а</w:t>
      </w:r>
      <w:r>
        <w:rPr>
          <w:rFonts w:cs="Times New Roman" w:ascii="Times New Roman" w:hAnsi="Times New Roman"/>
          <w:sz w:val="28"/>
          <w:szCs w:val="28"/>
        </w:rPr>
        <w:t xml:space="preserve"> образования </w:t>
      </w:r>
    </w:p>
    <w:p>
      <w:pPr>
        <w:pStyle w:val="Normal"/>
        <w:spacing w:before="0" w:after="200"/>
        <w:rPr/>
      </w:pPr>
      <w:r>
        <w:rPr>
          <w:rFonts w:cs="Times New Roman" w:ascii="Times New Roman" w:hAnsi="Times New Roman"/>
          <w:sz w:val="28"/>
          <w:szCs w:val="28"/>
        </w:rPr>
        <w:t xml:space="preserve">Новосибирской области                                                                 </w:t>
      </w:r>
      <w:r>
        <w:rPr>
          <w:rFonts w:cs="Times New Roman" w:ascii="Times New Roman" w:hAnsi="Times New Roman"/>
          <w:sz w:val="28"/>
          <w:szCs w:val="28"/>
        </w:rPr>
        <w:t>Ю.И. Савостьянов</w:t>
      </w:r>
      <w:r>
        <w:rPr>
          <w:rFonts w:cs="Times New Roman" w:ascii="Times New Roman" w:hAnsi="Times New Roman"/>
          <w:sz w:val="28"/>
          <w:szCs w:val="28"/>
        </w:rPr>
        <w:t xml:space="preserve">    </w:t>
      </w:r>
      <w:bookmarkEnd w:id="2"/>
      <w:bookmarkEnd w:id="3"/>
    </w:p>
    <w:sectPr>
      <w:headerReference w:type="even" r:id="rId5"/>
      <w:headerReference w:type="default" r:id="rId6"/>
      <w:headerReference w:type="first" r:id="rId7"/>
      <w:type w:val="nextPage"/>
      <w:pgSz w:w="11906" w:h="16838"/>
      <w:pgMar w:left="1134" w:right="1127" w:gutter="0" w:header="1134" w:top="1768" w:footer="0" w:bottom="1134"/>
      <w:pgNumType w:fmt="decimal"/>
      <w:formProt w:val="false"/>
      <w:titlePg/>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Arial">
    <w:charset w:val="01"/>
    <w:family w:val="swiss"/>
    <w:pitch w:val="variable"/>
  </w:font>
  <w:font w:name="Segoe UI">
    <w:charset w:val="01"/>
    <w:family w:val="swiss"/>
    <w:pitch w:val="variable"/>
  </w:font>
  <w:font w:name="Liberation Sans">
    <w:altName w:val="Arial"/>
    <w:charset w:val="01"/>
    <w:family w:val="swiss"/>
    <w:pitch w:val="variable"/>
  </w:font>
  <w:font w:name="Times New Roman">
    <w:charset w:val="01"/>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jc w:val="center"/>
      <w:rPr>
        <w:sz w:val="28"/>
        <w:szCs w:val="28"/>
      </w:rPr>
    </w:pPr>
    <w:bookmarkStart w:id="4" w:name="PageNumWizard_HEADER_Базовый1"/>
    <w:r>
      <w:rPr>
        <w:rFonts w:ascii="Times New Roman" w:hAnsi="Times New Roman"/>
        <w:sz w:val="28"/>
        <w:szCs w:val="28"/>
      </w:rPr>
      <w:fldChar w:fldCharType="begin"/>
    </w:r>
    <w:r>
      <w:rPr>
        <w:sz w:val="28"/>
        <w:szCs w:val="28"/>
        <w:rFonts w:ascii="Times New Roman" w:hAnsi="Times New Roman"/>
      </w:rPr>
      <w:instrText xml:space="preserve"> PAGE </w:instrText>
    </w:r>
    <w:r>
      <w:rPr>
        <w:sz w:val="28"/>
        <w:szCs w:val="28"/>
        <w:rFonts w:ascii="Times New Roman" w:hAnsi="Times New Roman"/>
      </w:rPr>
      <w:fldChar w:fldCharType="separate"/>
    </w:r>
    <w:r>
      <w:rPr>
        <w:sz w:val="28"/>
        <w:szCs w:val="28"/>
        <w:rFonts w:ascii="Times New Roman" w:hAnsi="Times New Roman"/>
      </w:rPr>
      <w:t>3</w:t>
    </w:r>
    <w:r>
      <w:rPr>
        <w:sz w:val="28"/>
        <w:szCs w:val="28"/>
        <w:rFonts w:ascii="Times New Roman" w:hAnsi="Times New Roman"/>
      </w:rPr>
      <w:fldChar w:fldCharType="end"/>
    </w:r>
    <w:bookmarkEnd w:id="4"/>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settings.xml><?xml version="1.0" encoding="utf-8"?>
<w:settings xmlns:w="http://schemas.openxmlformats.org/wordprocessingml/2006/main">
  <w:zoom w:percent="100"/>
  <w:defaultTabStop w:val="708"/>
  <w:autoHyphenation w:val="true"/>
  <w:hyphenationZone w:val="0"/>
  <w:compat>
    <w:doNotBreakWrappedTables/>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iPriority="0"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suppressAutoHyphens w:val="true"/>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character" w:styleId="DefaultParagraphFont" w:default="1">
    <w:name w:val="Default Paragraph Font"/>
    <w:uiPriority w:val="1"/>
    <w:semiHidden/>
    <w:unhideWhenUsed/>
    <w:qFormat/>
    <w:rPr/>
  </w:style>
  <w:style w:type="character" w:styleId="Heading1Char" w:customStyle="1">
    <w:name w:val="Heading 1 Char"/>
    <w:basedOn w:val="DefaultParagraphFont"/>
    <w:uiPriority w:val="9"/>
    <w:qFormat/>
    <w:rsid w:val="00c73ad6"/>
    <w:rPr>
      <w:rFonts w:ascii="Arial" w:hAnsi="Arial" w:eastAsia="Arial" w:cs="Arial"/>
      <w:sz w:val="40"/>
      <w:szCs w:val="40"/>
    </w:rPr>
  </w:style>
  <w:style w:type="character" w:styleId="PageNumber">
    <w:name w:val="page number"/>
    <w:basedOn w:val="DefaultParagraphFont"/>
    <w:qFormat/>
    <w:rsid w:val="00943ba7"/>
    <w:rPr/>
  </w:style>
  <w:style w:type="character" w:styleId="Style14" w:customStyle="1">
    <w:name w:val="Верхний колонтитул Знак"/>
    <w:basedOn w:val="DefaultParagraphFont"/>
    <w:uiPriority w:val="99"/>
    <w:qFormat/>
    <w:rsid w:val="007b6f8c"/>
    <w:rPr/>
  </w:style>
  <w:style w:type="character" w:styleId="Style15" w:customStyle="1">
    <w:name w:val="Нижний колонтитул Знак"/>
    <w:basedOn w:val="DefaultParagraphFont"/>
    <w:uiPriority w:val="99"/>
    <w:qFormat/>
    <w:rsid w:val="007b6f8c"/>
    <w:rPr/>
  </w:style>
  <w:style w:type="character" w:styleId="Style16" w:customStyle="1">
    <w:name w:val="Текст выноски Знак"/>
    <w:basedOn w:val="DefaultParagraphFont"/>
    <w:link w:val="BalloonText"/>
    <w:uiPriority w:val="99"/>
    <w:semiHidden/>
    <w:qFormat/>
    <w:rsid w:val="008f7ab2"/>
    <w:rPr>
      <w:rFonts w:ascii="Segoe UI" w:hAnsi="Segoe UI" w:cs="Segoe UI"/>
      <w:sz w:val="18"/>
      <w:szCs w:val="18"/>
    </w:rPr>
  </w:style>
  <w:style w:type="character" w:styleId="Hyperlink">
    <w:name w:val="Hyperlink"/>
    <w:rPr>
      <w:color w:val="000080"/>
      <w:u w:val="single"/>
    </w:rPr>
  </w:style>
  <w:style w:type="paragraph" w:styleId="Style17">
    <w:name w:val="Заголовок"/>
    <w:basedOn w:val="Normal"/>
    <w:next w:val="BodyText"/>
    <w:qFormat/>
    <w:pPr>
      <w:keepNext w:val="true"/>
      <w:spacing w:before="240" w:after="120"/>
    </w:pPr>
    <w:rPr>
      <w:rFonts w:ascii="Liberation Sans" w:hAnsi="Liberation Sans" w:eastAsia="Tahoma" w:cs="Noto Sans"/>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Noto Sans"/>
    </w:rPr>
  </w:style>
  <w:style w:type="paragraph" w:styleId="Caption">
    <w:name w:val="caption"/>
    <w:basedOn w:val="Normal"/>
    <w:qFormat/>
    <w:pPr>
      <w:suppressLineNumbers/>
      <w:spacing w:before="120" w:after="120"/>
    </w:pPr>
    <w:rPr>
      <w:rFonts w:cs="Noto Sans"/>
      <w:i/>
      <w:iCs/>
      <w:sz w:val="24"/>
      <w:szCs w:val="24"/>
    </w:rPr>
  </w:style>
  <w:style w:type="paragraph" w:styleId="Style18">
    <w:name w:val="Указатель"/>
    <w:basedOn w:val="Normal"/>
    <w:qFormat/>
    <w:pPr>
      <w:suppressLineNumbers/>
    </w:pPr>
    <w:rPr>
      <w:rFonts w:cs="Noto Sans"/>
    </w:rPr>
  </w:style>
  <w:style w:type="paragraph" w:styleId="user">
    <w:name w:val="Заголовок (user)"/>
    <w:basedOn w:val="Normal"/>
    <w:next w:val="BodyText"/>
    <w:qFormat/>
    <w:pPr>
      <w:keepNext w:val="true"/>
      <w:spacing w:before="240" w:after="120"/>
    </w:pPr>
    <w:rPr>
      <w:rFonts w:ascii="Liberation Sans" w:hAnsi="Liberation Sans" w:eastAsia="Tahoma" w:cs="Noto Sans"/>
      <w:sz w:val="28"/>
      <w:szCs w:val="28"/>
    </w:rPr>
  </w:style>
  <w:style w:type="paragraph" w:styleId="user1">
    <w:name w:val="Указатель (user)"/>
    <w:basedOn w:val="Normal"/>
    <w:qFormat/>
    <w:pPr>
      <w:suppressLineNumbers/>
    </w:pPr>
    <w:rPr>
      <w:rFonts w:cs="Noto Sans"/>
    </w:rPr>
  </w:style>
  <w:style w:type="paragraph" w:styleId="ConsPlusNormal" w:customStyle="1">
    <w:name w:val="ConsPlusNormal"/>
    <w:qFormat/>
    <w:rsid w:val="00211f95"/>
    <w:pPr>
      <w:widowControl w:val="false"/>
      <w:suppressAutoHyphens w:val="true"/>
      <w:bidi w:val="0"/>
      <w:spacing w:lineRule="auto" w:line="240" w:before="0" w:after="0"/>
      <w:jc w:val="left"/>
    </w:pPr>
    <w:rPr>
      <w:rFonts w:ascii="Calibri" w:hAnsi="Calibri" w:eastAsia="" w:cs="Calibri" w:eastAsiaTheme="minorEastAsia"/>
      <w:color w:val="auto"/>
      <w:kern w:val="0"/>
      <w:sz w:val="22"/>
      <w:szCs w:val="22"/>
      <w:lang w:val="ru-RU" w:eastAsia="ru-RU" w:bidi="ar-SA"/>
    </w:rPr>
  </w:style>
  <w:style w:type="paragraph" w:styleId="ConsPlusTitle" w:customStyle="1">
    <w:name w:val="ConsPlusTitle"/>
    <w:qFormat/>
    <w:rsid w:val="00211f95"/>
    <w:pPr>
      <w:widowControl w:val="false"/>
      <w:suppressAutoHyphens w:val="true"/>
      <w:bidi w:val="0"/>
      <w:spacing w:lineRule="auto" w:line="240" w:before="0" w:after="0"/>
      <w:jc w:val="left"/>
    </w:pPr>
    <w:rPr>
      <w:rFonts w:ascii="Calibri" w:hAnsi="Calibri" w:eastAsia="" w:cs="Calibri" w:eastAsiaTheme="minorEastAsia"/>
      <w:b/>
      <w:color w:val="auto"/>
      <w:kern w:val="0"/>
      <w:sz w:val="22"/>
      <w:szCs w:val="22"/>
      <w:lang w:val="ru-RU" w:eastAsia="ru-RU" w:bidi="ar-SA"/>
    </w:rPr>
  </w:style>
  <w:style w:type="paragraph" w:styleId="Style19">
    <w:name w:val="Колонтитулы"/>
    <w:basedOn w:val="Normal"/>
    <w:qFormat/>
    <w:pPr/>
    <w:rPr/>
  </w:style>
  <w:style w:type="paragraph" w:styleId="user2">
    <w:name w:val="Колонтитулы (user)"/>
    <w:basedOn w:val="Normal"/>
    <w:qFormat/>
    <w:pPr/>
    <w:rPr/>
  </w:style>
  <w:style w:type="paragraph" w:styleId="Header">
    <w:name w:val="header"/>
    <w:basedOn w:val="Normal"/>
    <w:link w:val="Style14"/>
    <w:uiPriority w:val="99"/>
    <w:unhideWhenUsed/>
    <w:rsid w:val="007b6f8c"/>
    <w:pPr>
      <w:tabs>
        <w:tab w:val="clear" w:pos="708"/>
        <w:tab w:val="center" w:pos="4677" w:leader="none"/>
        <w:tab w:val="right" w:pos="9355" w:leader="none"/>
      </w:tabs>
      <w:spacing w:lineRule="auto" w:line="240" w:before="0" w:after="0"/>
    </w:pPr>
    <w:rPr/>
  </w:style>
  <w:style w:type="paragraph" w:styleId="Footer">
    <w:name w:val="footer"/>
    <w:basedOn w:val="Normal"/>
    <w:link w:val="Style15"/>
    <w:uiPriority w:val="99"/>
    <w:unhideWhenUsed/>
    <w:rsid w:val="007b6f8c"/>
    <w:pPr>
      <w:tabs>
        <w:tab w:val="clear" w:pos="708"/>
        <w:tab w:val="center" w:pos="4677" w:leader="none"/>
        <w:tab w:val="right" w:pos="9355" w:leader="none"/>
      </w:tabs>
      <w:spacing w:lineRule="auto" w:line="240" w:before="0" w:after="0"/>
    </w:pPr>
    <w:rPr/>
  </w:style>
  <w:style w:type="paragraph" w:styleId="BalloonText">
    <w:name w:val="Balloon Text"/>
    <w:basedOn w:val="Normal"/>
    <w:link w:val="Style16"/>
    <w:uiPriority w:val="99"/>
    <w:semiHidden/>
    <w:unhideWhenUsed/>
    <w:qFormat/>
    <w:rsid w:val="008f7ab2"/>
    <w:pPr>
      <w:spacing w:lineRule="auto" w:line="240" w:before="0" w:after="0"/>
    </w:pPr>
    <w:rPr>
      <w:rFonts w:ascii="Segoe UI" w:hAnsi="Segoe UI" w:cs="Segoe UI"/>
      <w:sz w:val="18"/>
      <w:szCs w:val="18"/>
    </w:rPr>
  </w:style>
  <w:style w:type="numbering" w:styleId="Style20" w:default="1">
    <w:name w:val="Без списка"/>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login.consultant.ru/link/?req=doc&amp;base=RLAW049&amp;n=185312&amp;dst=100053" TargetMode="External"/><Relationship Id="rId3" Type="http://schemas.openxmlformats.org/officeDocument/2006/relationships/hyperlink" Target="https://login.consultant.ru/link/?req=doc&amp;base=RLAW049&amp;n=187063&amp;dst=100011" TargetMode="External"/><Relationship Id="rId4" Type="http://schemas.openxmlformats.org/officeDocument/2006/relationships/hyperlink" Target="https://login.consultant.ru/link/?req=doc&amp;base=RLAW049&amp;n=149425&amp;dst=100010" TargetMode="External"/><Relationship Id="rId5" Type="http://schemas.openxmlformats.org/officeDocument/2006/relationships/header" Target="header1.xml"/><Relationship Id="rId6" Type="http://schemas.openxmlformats.org/officeDocument/2006/relationships/header" Target="header2.xml"/><Relationship Id="rId7" Type="http://schemas.openxmlformats.org/officeDocument/2006/relationships/header" Target="header3.xml"/><Relationship Id="rId8" Type="http://schemas.openxmlformats.org/officeDocument/2006/relationships/fontTable" Target="fontTable.xml"/><Relationship Id="rId9" Type="http://schemas.openxmlformats.org/officeDocument/2006/relationships/settings" Target="settings.xml"/><Relationship Id="rId10" Type="http://schemas.openxmlformats.org/officeDocument/2006/relationships/theme" Target="theme/theme1.xml"/><Relationship Id="rId11"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B592BF-FB79-495A-A3AC-B84977C09B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Application>LibreOffice/24.8.7.2$Linux_X86_64 LibreOffice_project/480$Build-2</Application>
  <AppVersion>15.0000</AppVersion>
  <Pages>4</Pages>
  <Words>822</Words>
  <Characters>6497</Characters>
  <CharactersWithSpaces>7355</CharactersWithSpaces>
  <Paragraphs>34</Paragraphs>
  <Company>КонсультантПлюс Версия 4025.00.02</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2025-10-16T10:56:00Z</dcterms:created>
  <dc:creator>Шварцкопп Валентин Валерьевич</dc:creator>
  <dc:description/>
  <dc:language>ru-RU</dc:language>
  <cp:lastModifiedBy/>
  <cp:lastPrinted>2024-10-18T06:51:00Z</cp:lastPrinted>
  <dcterms:modified xsi:type="dcterms:W3CDTF">2025-10-16T11:54:31Z</dcterms:modified>
  <cp:revision>13</cp:revision>
  <dc:subject/>
  <dc:title>Постановление Правительства Новосибирской области от 31.12.2014 N 576-п(ред. от 01.07.2025)"Об утверждении государственной программы Новосибирской области "Развитие образования, создание условий для социализации детей и учащейся молодежи в Новосибирской области"</dc:title>
</cp:coreProperties>
</file>

<file path=docProps/custom.xml><?xml version="1.0" encoding="utf-8"?>
<Properties xmlns="http://schemas.openxmlformats.org/officeDocument/2006/custom-properties" xmlns:vt="http://schemas.openxmlformats.org/officeDocument/2006/docPropsVTypes"/>
</file>